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bCs/>
          <w:snapToGrid w:val="0"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napToGrid w:val="0"/>
          <w:color w:val="000000"/>
          <w:sz w:val="32"/>
          <w:szCs w:val="32"/>
          <w:lang w:bidi="ar-SA"/>
        </w:rPr>
        <w:t>附件1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lang w:bidi="ar-SA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sz w:val="44"/>
          <w:szCs w:val="44"/>
          <w:lang w:bidi="ar-SA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napToGrid w:val="0"/>
          <w:color w:val="000000"/>
          <w:sz w:val="44"/>
          <w:szCs w:val="44"/>
          <w:lang w:bidi="ar-SA"/>
        </w:rPr>
        <w:t>市级部门登录帐号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lang w:bidi="ar-SA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中共达州市委宣传部       达州市发展和改革委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达州市教育局             达州市科学技术局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达州市经济和信息化局     达州市公安局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达州市民政局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达州市人力资源和社会保障局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达州市自然资源和规划局   达州市生态环境局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达州市住房和城乡建设局   达州市交通运输局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达州市水务局             达州市农业农村局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达州市文化体育和旅游局   达州市卫生健康委员会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pacing w:val="-12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达州市应急管理局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</w:t>
      </w:r>
      <w:r>
        <w:rPr>
          <w:rFonts w:hint="default" w:ascii="Times New Roman" w:hAnsi="Times New Roman" w:eastAsia="仿宋_GB2312" w:cs="Times New Roman"/>
          <w:color w:val="000000"/>
          <w:spacing w:val="-12"/>
          <w:kern w:val="0"/>
          <w:sz w:val="32"/>
          <w:szCs w:val="32"/>
          <w:lang w:bidi="ar-SA"/>
        </w:rPr>
        <w:t>州市国有资产监督管理委员会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达州市市场监督管理局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   达州市林业局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-SA"/>
        </w:rPr>
        <w:t>中共达州市委统一战线工作部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达州市农业科学研究院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达州市气象局       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共青团达州市委           达州市总工会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达州市妇女联合会         达州市科学技术协会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60213"/>
    <w:rsid w:val="5B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2022-03-29T11:19:00Z</dcterms:created>
  <dc:creator>uos</dc:creator>
  <cp:lastModifiedBy>uos</cp:lastModifiedBy>
  <dcterms:modified xsi:type="dcterms:W3CDTF">2022-03-29T11:20:45Z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