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default" w:ascii="Times New Roman" w:hAnsi="Times New Roman" w:eastAsia="方正小标宋_GBK"/>
          <w:sz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/>
          <w:sz w:val="44"/>
          <w:lang w:val="en-US" w:eastAsia="zh-CN"/>
        </w:rPr>
        <w:t>达州市2023年度“揭榜挂帅”科技项目揭榜名单</w:t>
      </w:r>
      <w:bookmarkEnd w:id="0"/>
    </w:p>
    <w:tbl>
      <w:tblPr>
        <w:tblW w:w="139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3840"/>
        <w:gridCol w:w="3315"/>
        <w:gridCol w:w="3285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7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榜单信息</w:t>
            </w:r>
          </w:p>
        </w:tc>
        <w:tc>
          <w:tcPr>
            <w:tcW w:w="5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揭榜信息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发榜项目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发榜单位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揭榜单位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重大技术攻关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丘陵山区农机自动驾驶关键技术研发与装备创制应用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达州市达川空港新区开发建设有限公司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北京市农林科学院智能装备技术研究中心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孟志军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航达超低排放数智化管理关键技术研发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四川德润钢铁集团航达钢铁有限责任公司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柏美迪康环境科技（上海）股份有限公司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解淇凯</w:t>
            </w:r>
          </w:p>
        </w:tc>
      </w:tr>
    </w:tbl>
    <w:p>
      <w:pPr>
        <w:rPr>
          <w:rFonts w:hint="default" w:ascii="Times New Roman" w:hAnsi="Times New Roman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4E8357"/>
    <w:rsid w:val="7FEF2BA6"/>
    <w:rsid w:val="FC4E8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2023-11-21T16:49:00Z</dcterms:created>
  <dc:creator>uos</dc:creator>
  <cp:lastModifiedBy>uos</cp:lastModifiedBy>
  <cp:lastPrinted>2023-11-21T17:33:09Z</cp:lastPrinted>
  <dcterms:modified xsi:type="dcterms:W3CDTF">2023-11-21T17:34:46Z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