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E9BF8">
      <w:pPr>
        <w:adjustRightInd w:val="0"/>
        <w:snapToGrid w:val="0"/>
        <w:spacing w:line="578" w:lineRule="exact"/>
        <w:rPr>
          <w:rFonts w:hint="default" w:eastAsia="黑体"/>
          <w:snapToGrid w:val="0"/>
          <w:kern w:val="0"/>
          <w:sz w:val="32"/>
          <w:szCs w:val="32"/>
        </w:rPr>
      </w:pPr>
      <w:r>
        <w:rPr>
          <w:rFonts w:eastAsia="黑体"/>
          <w:snapToGrid w:val="0"/>
          <w:kern w:val="0"/>
          <w:sz w:val="32"/>
          <w:szCs w:val="32"/>
        </w:rPr>
        <w:t>附件</w:t>
      </w:r>
      <w:r>
        <w:rPr>
          <w:rFonts w:hint="default" w:eastAsia="黑体"/>
          <w:snapToGrid w:val="0"/>
          <w:kern w:val="0"/>
          <w:sz w:val="32"/>
          <w:szCs w:val="32"/>
        </w:rPr>
        <w:t>7</w:t>
      </w:r>
    </w:p>
    <w:p w14:paraId="7849F67F">
      <w:pPr>
        <w:adjustRightInd w:val="0"/>
        <w:snapToGrid w:val="0"/>
        <w:spacing w:line="578" w:lineRule="exact"/>
        <w:rPr>
          <w:rFonts w:eastAsia="仿宋_GB2312"/>
          <w:snapToGrid w:val="0"/>
          <w:kern w:val="0"/>
          <w:sz w:val="32"/>
          <w:szCs w:val="32"/>
        </w:rPr>
      </w:pPr>
    </w:p>
    <w:p w14:paraId="09D547A7">
      <w:pPr>
        <w:adjustRightInd w:val="0"/>
        <w:snapToGrid w:val="0"/>
        <w:spacing w:line="578" w:lineRule="exact"/>
        <w:jc w:val="center"/>
        <w:rPr>
          <w:rFonts w:eastAsia="楷体_GB2312"/>
          <w:snapToGrid w:val="0"/>
          <w:kern w:val="0"/>
          <w:sz w:val="32"/>
          <w:szCs w:val="32"/>
        </w:rPr>
      </w:pPr>
      <w:bookmarkStart w:id="0" w:name="_GoBack"/>
      <w:r>
        <w:rPr>
          <w:rFonts w:hint="default" w:eastAsia="方正小标宋简体"/>
          <w:snapToGrid w:val="0"/>
          <w:kern w:val="0"/>
          <w:sz w:val="44"/>
          <w:szCs w:val="44"/>
        </w:rPr>
        <w:t>达州市清洁能源专项</w:t>
      </w:r>
      <w:r>
        <w:rPr>
          <w:rFonts w:eastAsia="方正小标宋简体"/>
          <w:snapToGrid w:val="0"/>
          <w:kern w:val="0"/>
          <w:sz w:val="44"/>
          <w:szCs w:val="44"/>
        </w:rPr>
        <w:t>项目申报指南</w:t>
      </w:r>
      <w:bookmarkEnd w:id="0"/>
    </w:p>
    <w:p w14:paraId="2C5C3369">
      <w:pPr>
        <w:adjustRightInd w:val="0"/>
        <w:snapToGrid w:val="0"/>
        <w:spacing w:line="578" w:lineRule="exact"/>
        <w:jc w:val="center"/>
        <w:rPr>
          <w:rFonts w:hint="default" w:eastAsia="楷体_GB2312"/>
          <w:snapToGrid w:val="0"/>
          <w:kern w:val="0"/>
          <w:sz w:val="32"/>
          <w:szCs w:val="32"/>
        </w:rPr>
      </w:pPr>
      <w:r>
        <w:rPr>
          <w:rFonts w:eastAsia="楷体_GB2312"/>
          <w:snapToGrid w:val="0"/>
          <w:kern w:val="0"/>
          <w:sz w:val="32"/>
          <w:szCs w:val="32"/>
        </w:rPr>
        <w:t>（该指南</w:t>
      </w:r>
      <w:r>
        <w:rPr>
          <w:rFonts w:hint="default" w:eastAsia="楷体_GB2312"/>
          <w:snapToGrid w:val="0"/>
          <w:kern w:val="0"/>
          <w:sz w:val="32"/>
          <w:szCs w:val="32"/>
        </w:rPr>
        <w:t>按照关键技术攻关和成果转化两种项目类别分别</w:t>
      </w:r>
      <w:r>
        <w:rPr>
          <w:rFonts w:eastAsia="楷体_GB2312"/>
          <w:snapToGrid w:val="0"/>
          <w:kern w:val="0"/>
          <w:sz w:val="32"/>
          <w:szCs w:val="32"/>
        </w:rPr>
        <w:t>在线填写</w:t>
      </w:r>
      <w:r>
        <w:rPr>
          <w:rFonts w:hint="default" w:eastAsia="楷体_GB2312"/>
          <w:snapToGrid w:val="0"/>
          <w:kern w:val="0"/>
          <w:sz w:val="32"/>
          <w:szCs w:val="32"/>
        </w:rPr>
        <w:t>“达州市重点研发项目申报书”“达州市科技成果</w:t>
      </w:r>
    </w:p>
    <w:p w14:paraId="026DFF24">
      <w:pPr>
        <w:adjustRightInd w:val="0"/>
        <w:snapToGrid w:val="0"/>
        <w:spacing w:line="578" w:lineRule="exact"/>
        <w:jc w:val="center"/>
        <w:rPr>
          <w:rFonts w:eastAsia="楷体_GB2312"/>
          <w:snapToGrid w:val="0"/>
          <w:kern w:val="0"/>
          <w:sz w:val="32"/>
          <w:szCs w:val="32"/>
        </w:rPr>
      </w:pPr>
      <w:r>
        <w:rPr>
          <w:rFonts w:hint="default" w:eastAsia="楷体_GB2312"/>
          <w:snapToGrid w:val="0"/>
          <w:kern w:val="0"/>
          <w:sz w:val="32"/>
          <w:szCs w:val="32"/>
        </w:rPr>
        <w:t>转移转化示范项目申报书”</w:t>
      </w:r>
      <w:r>
        <w:rPr>
          <w:rFonts w:eastAsia="楷体_GB2312"/>
          <w:snapToGrid w:val="0"/>
          <w:kern w:val="0"/>
          <w:sz w:val="32"/>
          <w:szCs w:val="32"/>
        </w:rPr>
        <w:t>）</w:t>
      </w:r>
    </w:p>
    <w:p w14:paraId="19E586B2">
      <w:pPr>
        <w:adjustRightInd w:val="0"/>
        <w:snapToGrid w:val="0"/>
        <w:spacing w:line="578" w:lineRule="exact"/>
        <w:ind w:firstLine="640" w:firstLineChars="200"/>
        <w:rPr>
          <w:rFonts w:eastAsia="楷体_GB2312"/>
          <w:snapToGrid w:val="0"/>
          <w:kern w:val="0"/>
          <w:sz w:val="32"/>
          <w:szCs w:val="32"/>
        </w:rPr>
      </w:pPr>
    </w:p>
    <w:p w14:paraId="0C21DB13">
      <w:pPr>
        <w:adjustRightInd w:val="0"/>
        <w:snapToGrid w:val="0"/>
        <w:spacing w:line="578" w:lineRule="exact"/>
        <w:ind w:firstLine="640" w:firstLineChars="200"/>
        <w:rPr>
          <w:rFonts w:hint="default" w:eastAsia="黑体"/>
          <w:snapToGrid w:val="0"/>
          <w:kern w:val="0"/>
          <w:sz w:val="32"/>
          <w:szCs w:val="32"/>
        </w:rPr>
      </w:pPr>
      <w:r>
        <w:rPr>
          <w:rFonts w:eastAsia="黑体"/>
          <w:snapToGrid w:val="0"/>
          <w:kern w:val="0"/>
          <w:sz w:val="32"/>
          <w:szCs w:val="32"/>
        </w:rPr>
        <w:t>一、</w:t>
      </w:r>
      <w:r>
        <w:rPr>
          <w:rFonts w:hint="default" w:eastAsia="黑体"/>
          <w:snapToGrid w:val="0"/>
          <w:kern w:val="0"/>
          <w:sz w:val="32"/>
          <w:szCs w:val="32"/>
        </w:rPr>
        <w:t>资金</w:t>
      </w:r>
      <w:r>
        <w:rPr>
          <w:rFonts w:eastAsia="黑体"/>
          <w:snapToGrid w:val="0"/>
          <w:kern w:val="0"/>
          <w:sz w:val="32"/>
          <w:szCs w:val="32"/>
        </w:rPr>
        <w:t>支持方式</w:t>
      </w:r>
      <w:r>
        <w:rPr>
          <w:rFonts w:hint="default" w:eastAsia="黑体"/>
          <w:snapToGrid w:val="0"/>
          <w:kern w:val="0"/>
          <w:sz w:val="32"/>
          <w:szCs w:val="32"/>
        </w:rPr>
        <w:t>及经费安排</w:t>
      </w:r>
    </w:p>
    <w:p w14:paraId="39EC315C">
      <w:pPr>
        <w:adjustRightInd w:val="0"/>
        <w:snapToGrid w:val="0"/>
        <w:spacing w:line="578" w:lineRule="exact"/>
        <w:ind w:firstLine="640" w:firstLineChars="200"/>
        <w:rPr>
          <w:rFonts w:hint="default" w:eastAsia="仿宋_GB2312"/>
          <w:snapToGrid w:val="0"/>
          <w:kern w:val="0"/>
          <w:sz w:val="32"/>
          <w:szCs w:val="32"/>
        </w:rPr>
      </w:pPr>
      <w:r>
        <w:rPr>
          <w:rFonts w:hint="default" w:eastAsia="仿宋_GB2312"/>
          <w:snapToGrid w:val="0"/>
          <w:kern w:val="0"/>
          <w:sz w:val="32"/>
          <w:szCs w:val="32"/>
        </w:rPr>
        <w:t>拟立项不超过1项、每项不超过100万元，采取前补助+后补助支持方式</w:t>
      </w:r>
      <w:r>
        <w:rPr>
          <w:rFonts w:hint="default" w:eastAsia="仿宋_GB2312"/>
          <w:sz w:val="32"/>
          <w:szCs w:val="32"/>
        </w:rPr>
        <w:t>。</w:t>
      </w:r>
    </w:p>
    <w:p w14:paraId="2444F355">
      <w:pPr>
        <w:adjustRightInd w:val="0"/>
        <w:snapToGrid w:val="0"/>
        <w:spacing w:line="578" w:lineRule="exact"/>
        <w:ind w:firstLine="640" w:firstLineChars="200"/>
        <w:rPr>
          <w:rFonts w:eastAsia="黑体"/>
          <w:snapToGrid w:val="0"/>
          <w:kern w:val="0"/>
          <w:sz w:val="32"/>
          <w:szCs w:val="32"/>
        </w:rPr>
      </w:pPr>
      <w:r>
        <w:rPr>
          <w:rFonts w:eastAsia="黑体"/>
          <w:snapToGrid w:val="0"/>
          <w:kern w:val="0"/>
          <w:sz w:val="32"/>
          <w:szCs w:val="32"/>
        </w:rPr>
        <w:t>二、实施周期</w:t>
      </w:r>
    </w:p>
    <w:p w14:paraId="0D22CD90">
      <w:pPr>
        <w:adjustRightInd w:val="0"/>
        <w:snapToGrid w:val="0"/>
        <w:spacing w:line="578" w:lineRule="exact"/>
        <w:ind w:firstLine="640" w:firstLineChars="200"/>
        <w:rPr>
          <w:rFonts w:eastAsia="仿宋_GB2312"/>
          <w:snapToGrid w:val="0"/>
          <w:kern w:val="0"/>
          <w:sz w:val="32"/>
          <w:szCs w:val="32"/>
        </w:rPr>
      </w:pPr>
      <w:r>
        <w:rPr>
          <w:rFonts w:eastAsia="仿宋_GB2312"/>
          <w:snapToGrid w:val="0"/>
          <w:kern w:val="0"/>
          <w:sz w:val="32"/>
          <w:szCs w:val="32"/>
        </w:rPr>
        <w:t>一般为2年，起止时间202</w:t>
      </w:r>
      <w:r>
        <w:rPr>
          <w:rFonts w:hint="default" w:eastAsia="仿宋_GB2312"/>
          <w:snapToGrid w:val="0"/>
          <w:kern w:val="0"/>
          <w:sz w:val="32"/>
          <w:szCs w:val="32"/>
        </w:rPr>
        <w:t>4</w:t>
      </w:r>
      <w:r>
        <w:rPr>
          <w:rFonts w:eastAsia="仿宋_GB2312"/>
          <w:snapToGrid w:val="0"/>
          <w:kern w:val="0"/>
          <w:sz w:val="32"/>
          <w:szCs w:val="32"/>
        </w:rPr>
        <w:t>年</w:t>
      </w:r>
      <w:r>
        <w:rPr>
          <w:rFonts w:hint="default" w:eastAsia="仿宋_GB2312"/>
          <w:snapToGrid w:val="0"/>
          <w:kern w:val="0"/>
          <w:sz w:val="32"/>
          <w:szCs w:val="32"/>
        </w:rPr>
        <w:t>12</w:t>
      </w:r>
      <w:r>
        <w:rPr>
          <w:rFonts w:eastAsia="仿宋_GB2312"/>
          <w:snapToGrid w:val="0"/>
          <w:kern w:val="0"/>
          <w:sz w:val="32"/>
          <w:szCs w:val="32"/>
        </w:rPr>
        <w:t>月</w:t>
      </w:r>
      <w:r>
        <w:rPr>
          <w:rFonts w:hint="default" w:eastAsia="仿宋_GB2312"/>
          <w:snapToGrid w:val="0"/>
          <w:kern w:val="0"/>
          <w:sz w:val="32"/>
          <w:szCs w:val="32"/>
        </w:rPr>
        <w:t>—2026年11月</w:t>
      </w:r>
      <w:r>
        <w:rPr>
          <w:rFonts w:eastAsia="仿宋_GB2312"/>
          <w:snapToGrid w:val="0"/>
          <w:kern w:val="0"/>
          <w:sz w:val="32"/>
          <w:szCs w:val="32"/>
        </w:rPr>
        <w:t>。</w:t>
      </w:r>
    </w:p>
    <w:p w14:paraId="68A8F335">
      <w:pPr>
        <w:adjustRightInd w:val="0"/>
        <w:snapToGrid w:val="0"/>
        <w:spacing w:line="578" w:lineRule="exact"/>
        <w:ind w:firstLine="640" w:firstLineChars="200"/>
        <w:rPr>
          <w:rFonts w:eastAsia="黑体"/>
          <w:snapToGrid w:val="0"/>
          <w:kern w:val="0"/>
          <w:sz w:val="32"/>
          <w:szCs w:val="32"/>
        </w:rPr>
      </w:pPr>
      <w:r>
        <w:rPr>
          <w:rFonts w:hint="default" w:eastAsia="黑体"/>
          <w:snapToGrid w:val="0"/>
          <w:kern w:val="0"/>
          <w:sz w:val="32"/>
          <w:szCs w:val="32"/>
        </w:rPr>
        <w:t>三、</w:t>
      </w:r>
      <w:r>
        <w:rPr>
          <w:rFonts w:eastAsia="黑体"/>
          <w:snapToGrid w:val="0"/>
          <w:kern w:val="0"/>
          <w:sz w:val="32"/>
          <w:szCs w:val="32"/>
        </w:rPr>
        <w:t>支持</w:t>
      </w:r>
      <w:r>
        <w:rPr>
          <w:rFonts w:hint="default" w:eastAsia="黑体"/>
          <w:snapToGrid w:val="0"/>
          <w:kern w:val="0"/>
          <w:sz w:val="32"/>
          <w:szCs w:val="32"/>
        </w:rPr>
        <w:t>方向和重点</w:t>
      </w:r>
    </w:p>
    <w:p w14:paraId="6386BAFF">
      <w:pPr>
        <w:adjustRightInd w:val="0"/>
        <w:snapToGrid w:val="0"/>
        <w:spacing w:line="578" w:lineRule="exact"/>
        <w:ind w:firstLine="640" w:firstLineChars="200"/>
        <w:rPr>
          <w:rFonts w:hint="default" w:eastAsia="仿宋_GB2312"/>
          <w:snapToGrid w:val="0"/>
          <w:kern w:val="0"/>
          <w:sz w:val="32"/>
          <w:szCs w:val="32"/>
          <w:lang w:bidi="ar"/>
        </w:rPr>
      </w:pPr>
      <w:r>
        <w:rPr>
          <w:rFonts w:hint="default" w:eastAsia="楷体_GB2312"/>
          <w:bCs/>
          <w:snapToGrid w:val="0"/>
          <w:kern w:val="0"/>
          <w:sz w:val="32"/>
          <w:szCs w:val="32"/>
          <w:lang w:bidi="ar"/>
        </w:rPr>
        <w:t>（一）发供配电一体化智能控制系统（成果转化）</w:t>
      </w:r>
    </w:p>
    <w:p w14:paraId="39DBFD44">
      <w:pPr>
        <w:adjustRightInd w:val="0"/>
        <w:snapToGrid w:val="0"/>
        <w:spacing w:line="578" w:lineRule="exact"/>
        <w:ind w:firstLine="640" w:firstLineChars="200"/>
        <w:rPr>
          <w:rFonts w:hint="default" w:eastAsia="仿宋_GB2312"/>
          <w:snapToGrid w:val="0"/>
          <w:kern w:val="0"/>
          <w:sz w:val="32"/>
          <w:szCs w:val="32"/>
          <w:lang w:bidi="ar"/>
        </w:rPr>
      </w:pPr>
      <w:r>
        <w:rPr>
          <w:rFonts w:hint="default" w:eastAsia="仿宋_GB2312"/>
          <w:snapToGrid w:val="0"/>
          <w:kern w:val="0"/>
          <w:sz w:val="32"/>
          <w:szCs w:val="32"/>
          <w:lang w:bidi="ar"/>
        </w:rPr>
        <w:t>研究内容：（1）电网设备升级改造和智能控制系统建设，对电网进行信息化监管，提供实时数据监测、异常告警、数据报表、智能化运维等服务；（2）通过对发供配电能源数据的采集与处理，建立设备能源统一监控与运行管理平台，实现遥测、遥信、遥控、遥调与遥视的五遥集成，实现电网大数据主动分析和保护，进一步提升电网安全和供电质量。（3）建立“绿色能源+智慧电网”体系，实现无人值班、少人值守、统一调度和智能管理，进一步提高设备运行效率，降低线损和生产维护成本，实现绿色节能减碳，响应国家“碳达峰、碳中和”的政策。</w:t>
      </w:r>
    </w:p>
    <w:p w14:paraId="77512899">
      <w:pPr>
        <w:adjustRightInd w:val="0"/>
        <w:snapToGrid w:val="0"/>
        <w:spacing w:line="578" w:lineRule="exact"/>
        <w:ind w:firstLine="640" w:firstLineChars="200"/>
        <w:rPr>
          <w:rFonts w:hint="default" w:eastAsia="楷体_GB2312"/>
          <w:bCs/>
          <w:snapToGrid w:val="0"/>
          <w:kern w:val="0"/>
          <w:sz w:val="32"/>
          <w:szCs w:val="32"/>
          <w:lang w:bidi="ar"/>
        </w:rPr>
      </w:pPr>
      <w:r>
        <w:rPr>
          <w:rFonts w:hint="default" w:eastAsia="楷体_GB2312"/>
          <w:bCs/>
          <w:snapToGrid w:val="0"/>
          <w:kern w:val="0"/>
          <w:sz w:val="32"/>
          <w:szCs w:val="32"/>
          <w:lang w:bidi="ar"/>
        </w:rPr>
        <w:t>（二）高含硫天然气集输管道失效因素分析及腐蚀保护关键技术。</w:t>
      </w:r>
    </w:p>
    <w:p w14:paraId="24CB29E2">
      <w:pPr>
        <w:adjustRightInd w:val="0"/>
        <w:snapToGrid w:val="0"/>
        <w:spacing w:line="578" w:lineRule="exact"/>
        <w:ind w:firstLine="640" w:firstLineChars="200"/>
        <w:rPr>
          <w:rFonts w:hint="default" w:eastAsia="仿宋_GB2312"/>
          <w:snapToGrid w:val="0"/>
          <w:kern w:val="0"/>
          <w:sz w:val="32"/>
          <w:szCs w:val="32"/>
          <w:lang w:bidi="ar"/>
        </w:rPr>
      </w:pPr>
      <w:r>
        <w:rPr>
          <w:rFonts w:hint="default" w:eastAsia="仿宋_GB2312"/>
          <w:snapToGrid w:val="0"/>
          <w:kern w:val="0"/>
          <w:sz w:val="32"/>
          <w:szCs w:val="32"/>
          <w:lang w:bidi="ar"/>
        </w:rPr>
        <w:t>研究内容：（1）研究高含硫天然气集输管道失效性机理，包括元素硫在集输管道中的沉积机理及CO2和H2S单（双）主因腐蚀机理等，为高含硫天然气的检测和计量奠定关键理论和技术基础；（2）根据腐蚀机理开展腐蚀保护技术（防腐蚀技术）研究，突破高含硫天然气开采和集输管道的腐蚀保护关键技术，为天然气的集输净化和天然气一次化学加工提论理论支持和检验技术供给。</w:t>
      </w:r>
    </w:p>
    <w:p w14:paraId="43473492">
      <w:pPr>
        <w:adjustRightInd w:val="0"/>
        <w:snapToGrid w:val="0"/>
        <w:spacing w:line="578" w:lineRule="exact"/>
        <w:rPr>
          <w:rFonts w:eastAsia="黑体"/>
          <w:bCs/>
          <w:snapToGrid w:val="0"/>
          <w:kern w:val="0"/>
          <w:sz w:val="32"/>
          <w:szCs w:val="32"/>
        </w:rPr>
      </w:pPr>
    </w:p>
    <w:p w14:paraId="24F32784">
      <w:pPr>
        <w:adjustRightInd w:val="0"/>
        <w:snapToGrid w:val="0"/>
        <w:spacing w:line="578" w:lineRule="exact"/>
        <w:rPr>
          <w:rFonts w:eastAsia="黑体"/>
          <w:bCs/>
          <w:snapToGrid w:val="0"/>
          <w:kern w:val="0"/>
          <w:sz w:val="32"/>
          <w:szCs w:val="32"/>
        </w:rPr>
      </w:pPr>
    </w:p>
    <w:p w14:paraId="2F57255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NDEwODkwMDc2MWFlNDdmMzdlOGFmZjRkNTMzZjIifQ=="/>
  </w:docVars>
  <w:rsids>
    <w:rsidRoot w:val="6C3E6713"/>
    <w:rsid w:val="6C3E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2024-09-23T08:18:00Z</dcterms:created>
  <dc:creator>黎&amp;Q</dc:creator>
  <cp:lastModifiedBy>黎&amp;Q</cp:lastModifiedBy>
  <dcterms:modified xsi:type="dcterms:W3CDTF">2024-09-23T08:19:14Z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1ECCDE5A4DC1436BB1C24140B269C17B_11</vt:lpwstr>
  </property>
</Properties>
</file>