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4E1F">
      <w:pPr>
        <w:adjustRightInd w:val="0"/>
        <w:snapToGrid w:val="0"/>
        <w:spacing w:line="578" w:lineRule="exact"/>
        <w:rPr>
          <w:rFonts w:hint="default"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default" w:eastAsia="黑体"/>
          <w:snapToGrid w:val="0"/>
          <w:kern w:val="0"/>
          <w:sz w:val="32"/>
          <w:szCs w:val="32"/>
        </w:rPr>
        <w:t>2</w:t>
      </w:r>
    </w:p>
    <w:p w14:paraId="00FCC8FD">
      <w:pPr>
        <w:adjustRightInd w:val="0"/>
        <w:snapToGrid w:val="0"/>
        <w:spacing w:line="578" w:lineRule="exact"/>
        <w:rPr>
          <w:rFonts w:eastAsia="仿宋_GB2312"/>
          <w:snapToGrid w:val="0"/>
          <w:kern w:val="0"/>
          <w:sz w:val="32"/>
          <w:szCs w:val="32"/>
        </w:rPr>
      </w:pPr>
    </w:p>
    <w:p w14:paraId="6F0E0489">
      <w:pPr>
        <w:adjustRightInd w:val="0"/>
        <w:snapToGrid w:val="0"/>
        <w:spacing w:line="578" w:lineRule="exact"/>
        <w:jc w:val="center"/>
        <w:rPr>
          <w:rFonts w:eastAsia="楷体_GB2312"/>
          <w:snapToGrid w:val="0"/>
          <w:kern w:val="0"/>
          <w:sz w:val="32"/>
          <w:szCs w:val="32"/>
        </w:rPr>
      </w:pPr>
      <w:bookmarkStart w:id="0" w:name="_GoBack"/>
      <w:r>
        <w:rPr>
          <w:rFonts w:hint="default" w:eastAsia="方正小标宋简体"/>
          <w:snapToGrid w:val="0"/>
          <w:kern w:val="0"/>
          <w:sz w:val="44"/>
          <w:szCs w:val="44"/>
        </w:rPr>
        <w:t>达州市勘探开发专项</w:t>
      </w:r>
      <w:r>
        <w:rPr>
          <w:rFonts w:eastAsia="方正小标宋简体"/>
          <w:snapToGrid w:val="0"/>
          <w:kern w:val="0"/>
          <w:sz w:val="44"/>
          <w:szCs w:val="44"/>
        </w:rPr>
        <w:t>项目申报指南</w:t>
      </w:r>
      <w:bookmarkEnd w:id="0"/>
    </w:p>
    <w:p w14:paraId="2341E95B">
      <w:pPr>
        <w:adjustRightInd w:val="0"/>
        <w:snapToGrid w:val="0"/>
        <w:spacing w:line="578" w:lineRule="exact"/>
        <w:jc w:val="center"/>
        <w:rPr>
          <w:rFonts w:eastAsia="楷体_GB2312"/>
          <w:snapToGrid w:val="0"/>
          <w:kern w:val="0"/>
          <w:sz w:val="32"/>
          <w:szCs w:val="32"/>
        </w:rPr>
      </w:pPr>
      <w:r>
        <w:rPr>
          <w:rFonts w:eastAsia="楷体_GB2312"/>
          <w:snapToGrid w:val="0"/>
          <w:kern w:val="0"/>
          <w:sz w:val="32"/>
          <w:szCs w:val="32"/>
        </w:rPr>
        <w:t>（该指南在线填写</w:t>
      </w:r>
      <w:r>
        <w:rPr>
          <w:rFonts w:hint="default" w:eastAsia="楷体_GB2312"/>
          <w:snapToGrid w:val="0"/>
          <w:kern w:val="0"/>
          <w:sz w:val="32"/>
          <w:szCs w:val="32"/>
        </w:rPr>
        <w:t>“达州市重点研发项目申报书”</w:t>
      </w:r>
      <w:r>
        <w:rPr>
          <w:rFonts w:eastAsia="楷体_GB2312"/>
          <w:snapToGrid w:val="0"/>
          <w:kern w:val="0"/>
          <w:sz w:val="32"/>
          <w:szCs w:val="32"/>
        </w:rPr>
        <w:t>）</w:t>
      </w:r>
    </w:p>
    <w:p w14:paraId="24A48566">
      <w:pPr>
        <w:adjustRightInd w:val="0"/>
        <w:snapToGrid w:val="0"/>
        <w:spacing w:line="578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</w:p>
    <w:p w14:paraId="614D8681">
      <w:pPr>
        <w:adjustRightInd w:val="0"/>
        <w:snapToGrid w:val="0"/>
        <w:spacing w:line="578" w:lineRule="exact"/>
        <w:ind w:firstLine="640" w:firstLineChars="200"/>
        <w:rPr>
          <w:rFonts w:hint="default"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一、</w:t>
      </w:r>
      <w:r>
        <w:rPr>
          <w:rFonts w:hint="default" w:eastAsia="黑体"/>
          <w:snapToGrid w:val="0"/>
          <w:kern w:val="0"/>
          <w:sz w:val="32"/>
          <w:szCs w:val="32"/>
        </w:rPr>
        <w:t>资金</w:t>
      </w:r>
      <w:r>
        <w:rPr>
          <w:rFonts w:eastAsia="黑体"/>
          <w:snapToGrid w:val="0"/>
          <w:kern w:val="0"/>
          <w:sz w:val="32"/>
          <w:szCs w:val="32"/>
        </w:rPr>
        <w:t>支持方式</w:t>
      </w:r>
      <w:r>
        <w:rPr>
          <w:rFonts w:hint="default" w:eastAsia="黑体"/>
          <w:snapToGrid w:val="0"/>
          <w:kern w:val="0"/>
          <w:sz w:val="32"/>
          <w:szCs w:val="32"/>
        </w:rPr>
        <w:t>及经费安排</w:t>
      </w:r>
    </w:p>
    <w:p w14:paraId="2A3AF25D">
      <w:pPr>
        <w:adjustRightInd w:val="0"/>
        <w:snapToGrid w:val="0"/>
        <w:spacing w:line="578" w:lineRule="exact"/>
        <w:ind w:firstLine="640" w:firstLineChars="200"/>
        <w:rPr>
          <w:rFonts w:hint="default" w:eastAsia="仿宋_GB2312"/>
          <w:snapToGrid w:val="0"/>
          <w:kern w:val="0"/>
          <w:sz w:val="32"/>
          <w:szCs w:val="32"/>
        </w:rPr>
      </w:pPr>
      <w:r>
        <w:rPr>
          <w:rFonts w:hint="default" w:eastAsia="仿宋_GB2312"/>
          <w:snapToGrid w:val="0"/>
          <w:kern w:val="0"/>
          <w:sz w:val="32"/>
          <w:szCs w:val="32"/>
        </w:rPr>
        <w:t>拟立项不超过1项、每项不超过100万元，采取前补助+后补助支持方式</w:t>
      </w:r>
      <w:r>
        <w:rPr>
          <w:rFonts w:hint="default" w:eastAsia="仿宋_GB2312"/>
          <w:sz w:val="32"/>
          <w:szCs w:val="32"/>
        </w:rPr>
        <w:t>。</w:t>
      </w:r>
    </w:p>
    <w:p w14:paraId="6E94F993">
      <w:pPr>
        <w:adjustRightInd w:val="0"/>
        <w:snapToGrid w:val="0"/>
        <w:spacing w:line="578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二、实施周期</w:t>
      </w:r>
    </w:p>
    <w:p w14:paraId="45D2D867">
      <w:pPr>
        <w:adjustRightInd w:val="0"/>
        <w:snapToGrid w:val="0"/>
        <w:spacing w:line="578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一般为2年，起止时间202</w:t>
      </w:r>
      <w:r>
        <w:rPr>
          <w:rFonts w:hint="default" w:eastAsia="仿宋_GB2312"/>
          <w:snapToGrid w:val="0"/>
          <w:kern w:val="0"/>
          <w:sz w:val="32"/>
          <w:szCs w:val="32"/>
        </w:rPr>
        <w:t>4</w:t>
      </w:r>
      <w:r>
        <w:rPr>
          <w:rFonts w:eastAsia="仿宋_GB2312"/>
          <w:snapToGrid w:val="0"/>
          <w:kern w:val="0"/>
          <w:sz w:val="32"/>
          <w:szCs w:val="32"/>
        </w:rPr>
        <w:t>年</w:t>
      </w:r>
      <w:r>
        <w:rPr>
          <w:rFonts w:hint="default" w:eastAsia="仿宋_GB2312"/>
          <w:snapToGrid w:val="0"/>
          <w:kern w:val="0"/>
          <w:sz w:val="32"/>
          <w:szCs w:val="32"/>
        </w:rPr>
        <w:t>12</w:t>
      </w:r>
      <w:r>
        <w:rPr>
          <w:rFonts w:eastAsia="仿宋_GB2312"/>
          <w:snapToGrid w:val="0"/>
          <w:kern w:val="0"/>
          <w:sz w:val="32"/>
          <w:szCs w:val="32"/>
        </w:rPr>
        <w:t>月</w:t>
      </w:r>
      <w:r>
        <w:rPr>
          <w:rFonts w:hint="default" w:eastAsia="仿宋_GB2312"/>
          <w:snapToGrid w:val="0"/>
          <w:kern w:val="0"/>
          <w:sz w:val="32"/>
          <w:szCs w:val="32"/>
        </w:rPr>
        <w:t>—2026年11月</w:t>
      </w:r>
      <w:r>
        <w:rPr>
          <w:rFonts w:eastAsia="仿宋_GB2312"/>
          <w:snapToGrid w:val="0"/>
          <w:kern w:val="0"/>
          <w:sz w:val="32"/>
          <w:szCs w:val="32"/>
        </w:rPr>
        <w:t>。</w:t>
      </w:r>
    </w:p>
    <w:p w14:paraId="14D18FD3">
      <w:pPr>
        <w:numPr>
          <w:ilvl w:val="0"/>
          <w:numId w:val="1"/>
        </w:numPr>
        <w:adjustRightInd w:val="0"/>
        <w:snapToGrid w:val="0"/>
        <w:spacing w:line="578" w:lineRule="exact"/>
        <w:ind w:firstLine="640" w:firstLineChars="200"/>
        <w:rPr>
          <w:rFonts w:hint="default"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支持</w:t>
      </w:r>
      <w:r>
        <w:rPr>
          <w:rFonts w:hint="default" w:eastAsia="黑体"/>
          <w:snapToGrid w:val="0"/>
          <w:kern w:val="0"/>
          <w:sz w:val="32"/>
          <w:szCs w:val="32"/>
        </w:rPr>
        <w:t>方向和重点</w:t>
      </w:r>
    </w:p>
    <w:p w14:paraId="6B79ADE3">
      <w:pPr>
        <w:adjustRightInd w:val="0"/>
        <w:snapToGrid w:val="0"/>
        <w:spacing w:line="578" w:lineRule="exact"/>
        <w:ind w:firstLine="640" w:firstLineChars="200"/>
        <w:rPr>
          <w:rFonts w:hint="default" w:eastAsia="楷体_GB2312"/>
          <w:bCs/>
          <w:snapToGrid w:val="0"/>
          <w:kern w:val="0"/>
          <w:sz w:val="32"/>
          <w:szCs w:val="32"/>
          <w:lang w:bidi="ar"/>
        </w:rPr>
      </w:pPr>
      <w:r>
        <w:rPr>
          <w:rFonts w:hint="default" w:eastAsia="楷体_GB2312"/>
          <w:bCs/>
          <w:snapToGrid w:val="0"/>
          <w:kern w:val="0"/>
          <w:sz w:val="32"/>
          <w:szCs w:val="32"/>
          <w:lang w:bidi="ar"/>
        </w:rPr>
        <w:t>（一）典型隐伏钾锂资源靶区深部构造精细解译及矿体定位</w:t>
      </w:r>
    </w:p>
    <w:p w14:paraId="739213CF">
      <w:pPr>
        <w:adjustRightInd w:val="0"/>
        <w:snapToGrid w:val="0"/>
        <w:spacing w:line="578" w:lineRule="exact"/>
        <w:ind w:firstLine="640" w:firstLineChars="200"/>
        <w:rPr>
          <w:rFonts w:hint="default" w:eastAsia="仿宋_GB2312"/>
          <w:snapToGrid w:val="0"/>
          <w:kern w:val="0"/>
          <w:sz w:val="32"/>
          <w:szCs w:val="32"/>
          <w:lang w:bidi="ar"/>
        </w:rPr>
      </w:pPr>
      <w:r>
        <w:rPr>
          <w:rFonts w:hint="default" w:eastAsia="仿宋_GB2312"/>
          <w:snapToGrid w:val="0"/>
          <w:kern w:val="0"/>
          <w:sz w:val="32"/>
          <w:szCs w:val="32"/>
          <w:lang w:bidi="ar"/>
        </w:rPr>
        <w:t>研究内容：开展深部高精度构造-古地理岩相重建，实现深部复杂构造的精细解译和矿体三维可视化，建立典型隐伏钾锂资源靶区固/液相钾盐矿床“重-电-震-测井等”综合地球物理勘查技术体系。</w:t>
      </w:r>
    </w:p>
    <w:p w14:paraId="5D5AAE3F">
      <w:pPr>
        <w:adjustRightInd w:val="0"/>
        <w:snapToGrid w:val="0"/>
        <w:spacing w:line="578" w:lineRule="exact"/>
        <w:ind w:firstLine="640" w:firstLineChars="200"/>
        <w:rPr>
          <w:rFonts w:hint="default" w:eastAsia="楷体_GB2312"/>
          <w:bCs/>
          <w:snapToGrid w:val="0"/>
          <w:kern w:val="0"/>
          <w:sz w:val="32"/>
          <w:szCs w:val="32"/>
          <w:lang w:bidi="ar"/>
        </w:rPr>
      </w:pPr>
      <w:r>
        <w:rPr>
          <w:rFonts w:hint="default" w:eastAsia="楷体_GB2312"/>
          <w:bCs/>
          <w:snapToGrid w:val="0"/>
          <w:kern w:val="0"/>
          <w:sz w:val="32"/>
          <w:szCs w:val="32"/>
          <w:lang w:bidi="ar"/>
        </w:rPr>
        <w:t>（二）辉绿岩矿（玄武岩纤维原料）勘探开发与应用</w:t>
      </w:r>
    </w:p>
    <w:p w14:paraId="3E140E9A">
      <w:pPr>
        <w:adjustRightInd w:val="0"/>
        <w:snapToGrid w:val="0"/>
        <w:spacing w:line="578" w:lineRule="exact"/>
        <w:ind w:firstLine="640" w:firstLineChars="200"/>
        <w:rPr>
          <w:rFonts w:hint="default" w:eastAsia="仿宋_GB2312"/>
          <w:snapToGrid w:val="0"/>
          <w:kern w:val="0"/>
          <w:sz w:val="32"/>
          <w:szCs w:val="32"/>
          <w:lang w:bidi="ar"/>
        </w:rPr>
      </w:pPr>
      <w:r>
        <w:rPr>
          <w:rFonts w:hint="default" w:eastAsia="仿宋_GB2312"/>
          <w:snapToGrid w:val="0"/>
          <w:kern w:val="0"/>
          <w:sz w:val="32"/>
          <w:szCs w:val="32"/>
          <w:lang w:bidi="ar"/>
        </w:rPr>
        <w:t>研究内容：通过有效的地质勘查手段寻找成规模、成分稳定、风化蚀变弱且结晶程度较低的辉绿岩矿。</w:t>
      </w:r>
    </w:p>
    <w:p w14:paraId="6340331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E7F29"/>
    <w:multiLevelType w:val="singleLevel"/>
    <w:tmpl w:val="F67E7F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DEwODkwMDc2MWFlNDdmMzdlOGFmZjRkNTMzZjIifQ=="/>
  </w:docVars>
  <w:rsids>
    <w:rsidRoot w:val="59100037"/>
    <w:rsid w:val="5910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2024-09-23T08:12:00Z</dcterms:created>
  <dc:creator>黎&amp;Q</dc:creator>
  <cp:lastModifiedBy>黎&amp;Q</cp:lastModifiedBy>
  <dcterms:modified xsi:type="dcterms:W3CDTF">2024-09-23T08:13:25Z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6E8835E997CB46DA9F3CC3E78481F8FD_11</vt:lpwstr>
  </property>
</Properties>
</file>